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D950C" w14:textId="77777777" w:rsidR="00274B6B" w:rsidRDefault="00084811">
      <w:pPr>
        <w:tabs>
          <w:tab w:val="center" w:pos="2451"/>
          <w:tab w:val="center" w:pos="2801"/>
          <w:tab w:val="center" w:pos="3152"/>
          <w:tab w:val="center" w:pos="3502"/>
          <w:tab w:val="center" w:pos="3851"/>
          <w:tab w:val="center" w:pos="4202"/>
          <w:tab w:val="center" w:pos="4552"/>
          <w:tab w:val="center" w:pos="4902"/>
          <w:tab w:val="center" w:pos="5251"/>
          <w:tab w:val="center" w:pos="5602"/>
          <w:tab w:val="center" w:pos="5952"/>
          <w:tab w:val="center" w:pos="7586"/>
        </w:tabs>
        <w:ind w:left="-12" w:firstLine="0"/>
        <w:jc w:val="left"/>
      </w:pPr>
      <w:r>
        <w:t xml:space="preserve">Tsinghua </w:t>
      </w:r>
      <w:proofErr w:type="gramStart"/>
      <w:r>
        <w:t xml:space="preserve">University  </w:t>
      </w:r>
      <w:r>
        <w:tab/>
      </w:r>
      <w:proofErr w:type="gramEnd"/>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Prof. Jing Cao </w:t>
      </w:r>
    </w:p>
    <w:p w14:paraId="576BAEC5" w14:textId="42299A60" w:rsidR="00274B6B" w:rsidRDefault="00084811">
      <w:pPr>
        <w:tabs>
          <w:tab w:val="center" w:pos="2801"/>
          <w:tab w:val="center" w:pos="3152"/>
          <w:tab w:val="center" w:pos="3502"/>
          <w:tab w:val="center" w:pos="3851"/>
          <w:tab w:val="center" w:pos="4202"/>
          <w:tab w:val="center" w:pos="4552"/>
          <w:tab w:val="center" w:pos="4902"/>
          <w:tab w:val="center" w:pos="5252"/>
          <w:tab w:val="center" w:pos="5602"/>
          <w:tab w:val="center" w:pos="5952"/>
          <w:tab w:val="center" w:pos="7389"/>
        </w:tabs>
        <w:ind w:left="-12" w:firstLine="0"/>
        <w:jc w:val="left"/>
      </w:pPr>
      <w:r>
        <w:t xml:space="preserve">Department of Economics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Fall 202</w:t>
      </w:r>
      <w:r w:rsidR="00F707C4">
        <w:rPr>
          <w:rFonts w:eastAsiaTheme="minorEastAsia" w:hint="eastAsia"/>
        </w:rPr>
        <w:t>3</w:t>
      </w:r>
      <w:r>
        <w:t xml:space="preserve"> </w:t>
      </w:r>
    </w:p>
    <w:p w14:paraId="3BE6C290" w14:textId="12D7E551" w:rsidR="00274B6B" w:rsidRPr="00417B7C" w:rsidRDefault="00084811">
      <w:pPr>
        <w:spacing w:after="0" w:line="259" w:lineRule="auto"/>
        <w:ind w:left="0" w:firstLine="0"/>
        <w:jc w:val="left"/>
        <w:rPr>
          <w:rFonts w:eastAsiaTheme="minorEastAsia"/>
        </w:rPr>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1EC2D57F" w14:textId="77777777" w:rsidR="00274B6B" w:rsidRDefault="00084811">
      <w:pPr>
        <w:spacing w:after="0" w:line="259" w:lineRule="auto"/>
        <w:ind w:left="0" w:firstLine="0"/>
        <w:jc w:val="left"/>
      </w:pPr>
      <w:r>
        <w:t xml:space="preserve"> </w:t>
      </w:r>
    </w:p>
    <w:p w14:paraId="3385320B" w14:textId="77777777" w:rsidR="00274B6B" w:rsidRDefault="00084811">
      <w:pPr>
        <w:spacing w:after="0" w:line="259" w:lineRule="auto"/>
        <w:ind w:left="0" w:right="3" w:firstLine="0"/>
        <w:jc w:val="center"/>
      </w:pPr>
      <w:r>
        <w:rPr>
          <w:b/>
        </w:rPr>
        <w:t xml:space="preserve">ENVIRONMENTAL AND RESOURCE ECONOMICS </w:t>
      </w:r>
    </w:p>
    <w:p w14:paraId="17DD9FB9" w14:textId="77777777" w:rsidR="00274B6B" w:rsidRDefault="00084811">
      <w:pPr>
        <w:spacing w:after="0" w:line="259" w:lineRule="auto"/>
        <w:ind w:left="57" w:firstLine="0"/>
        <w:jc w:val="center"/>
      </w:pPr>
      <w:r>
        <w:t xml:space="preserve"> </w:t>
      </w:r>
    </w:p>
    <w:p w14:paraId="2C4539E0" w14:textId="77777777" w:rsidR="00274B6B" w:rsidRDefault="00084811">
      <w:pPr>
        <w:spacing w:after="10" w:line="249" w:lineRule="auto"/>
        <w:ind w:left="-15" w:right="2781" w:firstLine="3744"/>
        <w:jc w:val="left"/>
      </w:pPr>
      <w:r>
        <w:rPr>
          <w:b/>
          <w:u w:val="single" w:color="000000"/>
        </w:rPr>
        <w:t>Course Syllabus</w:t>
      </w:r>
      <w:r>
        <w:rPr>
          <w:b/>
        </w:rPr>
        <w:t xml:space="preserve"> </w:t>
      </w:r>
      <w:r>
        <w:rPr>
          <w:b/>
          <w:i/>
        </w:rPr>
        <w:t xml:space="preserve">Teaching Staffs: </w:t>
      </w:r>
    </w:p>
    <w:p w14:paraId="76CA0CA8" w14:textId="77777777" w:rsidR="00274B6B" w:rsidRDefault="00084811">
      <w:pPr>
        <w:spacing w:after="19" w:line="259" w:lineRule="auto"/>
        <w:ind w:left="0" w:firstLine="0"/>
        <w:jc w:val="left"/>
      </w:pPr>
      <w:r>
        <w:t xml:space="preserve"> </w:t>
      </w:r>
    </w:p>
    <w:p w14:paraId="40547168" w14:textId="77777777" w:rsidR="00274B6B" w:rsidRDefault="00084811">
      <w:pPr>
        <w:ind w:left="-2"/>
      </w:pPr>
      <w:r>
        <w:rPr>
          <w:rFonts w:ascii="宋体" w:eastAsia="宋体" w:hAnsi="宋体" w:cs="宋体"/>
        </w:rPr>
        <w:t>曹静</w:t>
      </w:r>
      <w:r>
        <w:rPr>
          <w:rFonts w:ascii="宋体" w:eastAsia="宋体" w:hAnsi="宋体" w:cs="宋体"/>
        </w:rPr>
        <w:t xml:space="preserve"> </w:t>
      </w:r>
      <w:r>
        <w:t xml:space="preserve">Jing Cao  </w:t>
      </w:r>
    </w:p>
    <w:p w14:paraId="028F7DAC" w14:textId="77777777" w:rsidR="00274B6B" w:rsidRDefault="00084811">
      <w:pPr>
        <w:ind w:left="-2"/>
      </w:pPr>
      <w:r>
        <w:t xml:space="preserve">Office: SEM, Shende Building 128 </w:t>
      </w:r>
    </w:p>
    <w:p w14:paraId="55D4EF9F" w14:textId="1B0CFBE8" w:rsidR="00274B6B" w:rsidRPr="00544ED9" w:rsidRDefault="00084811">
      <w:pPr>
        <w:ind w:left="-2"/>
        <w:rPr>
          <w:rFonts w:eastAsiaTheme="minorEastAsia"/>
        </w:rPr>
      </w:pPr>
      <w:r>
        <w:t xml:space="preserve">Office hours:  </w:t>
      </w:r>
      <w:r w:rsidR="00544ED9" w:rsidRPr="00544ED9">
        <w:rPr>
          <w:rFonts w:hint="eastAsia"/>
        </w:rPr>
        <w:t>TBD</w:t>
      </w:r>
    </w:p>
    <w:p w14:paraId="64F9932F" w14:textId="77777777" w:rsidR="00274B6B" w:rsidRDefault="00084811">
      <w:pPr>
        <w:tabs>
          <w:tab w:val="center" w:pos="2452"/>
          <w:tab w:val="center" w:pos="4581"/>
        </w:tabs>
        <w:ind w:left="-12" w:firstLine="0"/>
        <w:jc w:val="left"/>
      </w:pPr>
      <w:r>
        <w:t>Phone</w:t>
      </w:r>
      <w:proofErr w:type="gramStart"/>
      <w:r>
        <w:t>:  (</w:t>
      </w:r>
      <w:proofErr w:type="gramEnd"/>
      <w:r>
        <w:t xml:space="preserve">10) 62792726 </w:t>
      </w:r>
      <w:r>
        <w:tab/>
        <w:t xml:space="preserve"> </w:t>
      </w:r>
      <w:r>
        <w:tab/>
        <w:t xml:space="preserve">E-mail: </w:t>
      </w:r>
      <w:r>
        <w:rPr>
          <w:color w:val="0000FF"/>
          <w:u w:val="single" w:color="0000FF"/>
        </w:rPr>
        <w:t>caojing@sem.tsinghua.edu.cn</w:t>
      </w:r>
      <w:r>
        <w:t xml:space="preserve"> </w:t>
      </w:r>
    </w:p>
    <w:p w14:paraId="55905C8C" w14:textId="77777777" w:rsidR="00274B6B" w:rsidRDefault="00084811">
      <w:pPr>
        <w:spacing w:after="3" w:line="237" w:lineRule="auto"/>
        <w:ind w:left="0" w:right="8987" w:firstLine="0"/>
        <w:jc w:val="left"/>
      </w:pPr>
      <w:r>
        <w:t xml:space="preserve">   </w:t>
      </w:r>
    </w:p>
    <w:p w14:paraId="1E3B44F9" w14:textId="10FC15AE" w:rsidR="00274B6B" w:rsidRDefault="00084811">
      <w:pPr>
        <w:ind w:left="-2" w:right="2965"/>
      </w:pPr>
      <w:r>
        <w:rPr>
          <w:b/>
          <w:i/>
        </w:rPr>
        <w:t>Course Website</w:t>
      </w:r>
      <w:r>
        <w:rPr>
          <w:b/>
        </w:rPr>
        <w:t xml:space="preserve"> </w:t>
      </w:r>
      <w:r>
        <w:rPr>
          <w:color w:val="0000FF"/>
          <w:u w:val="single" w:color="0000FF"/>
        </w:rPr>
        <w:t>http://learn.tsinghua.edu.cn</w:t>
      </w:r>
      <w:r>
        <w:t xml:space="preserve">  </w:t>
      </w:r>
    </w:p>
    <w:p w14:paraId="62D1BD53" w14:textId="77777777" w:rsidR="00274B6B" w:rsidRDefault="00084811">
      <w:pPr>
        <w:spacing w:after="0" w:line="259" w:lineRule="auto"/>
        <w:ind w:left="0" w:firstLine="0"/>
        <w:jc w:val="left"/>
      </w:pPr>
      <w:r>
        <w:t xml:space="preserve"> </w:t>
      </w:r>
    </w:p>
    <w:p w14:paraId="23591430" w14:textId="77777777" w:rsidR="00274B6B" w:rsidRDefault="00084811">
      <w:pPr>
        <w:spacing w:after="10" w:line="249" w:lineRule="auto"/>
        <w:ind w:left="-5" w:right="2781"/>
        <w:jc w:val="left"/>
      </w:pPr>
      <w:r>
        <w:rPr>
          <w:b/>
          <w:i/>
        </w:rPr>
        <w:t xml:space="preserve">Course Description: </w:t>
      </w:r>
    </w:p>
    <w:p w14:paraId="2B6832A8" w14:textId="77777777" w:rsidR="00274B6B" w:rsidRDefault="00084811">
      <w:pPr>
        <w:spacing w:after="0" w:line="259" w:lineRule="auto"/>
        <w:ind w:left="0" w:firstLine="0"/>
        <w:jc w:val="left"/>
      </w:pPr>
      <w:r>
        <w:t xml:space="preserve"> </w:t>
      </w:r>
    </w:p>
    <w:p w14:paraId="576C19DE" w14:textId="77777777" w:rsidR="00274B6B" w:rsidRDefault="00084811">
      <w:pPr>
        <w:ind w:left="-2"/>
      </w:pPr>
      <w:r>
        <w:t>This course is an introduction of Environmental and Natural Resource Economics. The objective of this course is for students to learn how basic economic theory can be used to understand and analyze en</w:t>
      </w:r>
      <w:r>
        <w:t>vironmental pollution and resource degradation problems. The course covers both conceptual and methodological topics and recent applications in China, US and European countries. Examples of local, regional, national and international environmental and natu</w:t>
      </w:r>
      <w:r>
        <w:t xml:space="preserve">ral resource issues are presented and discussed. </w:t>
      </w:r>
    </w:p>
    <w:p w14:paraId="69293462" w14:textId="77777777" w:rsidR="00274B6B" w:rsidRDefault="00084811">
      <w:pPr>
        <w:spacing w:after="0" w:line="259" w:lineRule="auto"/>
        <w:ind w:left="0" w:firstLine="0"/>
        <w:jc w:val="left"/>
      </w:pPr>
      <w:r>
        <w:t xml:space="preserve"> </w:t>
      </w:r>
    </w:p>
    <w:p w14:paraId="6CCB9287" w14:textId="77777777" w:rsidR="00274B6B" w:rsidRDefault="00084811">
      <w:pPr>
        <w:ind w:left="-2"/>
      </w:pPr>
      <w:r>
        <w:t>This course is structured into four parts. The first part of this course is an introduction to the basic principles of environmental and resource economics; cost and benefit analysis. In the second part t</w:t>
      </w:r>
      <w:r>
        <w:t>he focus is on environmental economics and policy, including economics of pollution control, valuing the environment, regional and global air pollution, water pollution and so forth. The third part is focused on natural resource economics, both renewable a</w:t>
      </w:r>
      <w:r>
        <w:t xml:space="preserve">nd nonrenewable resources. The last part is on sustainable development and macroeconomic aspect of environmental policy. </w:t>
      </w:r>
    </w:p>
    <w:p w14:paraId="58C139B5" w14:textId="77777777" w:rsidR="00274B6B" w:rsidRDefault="00084811">
      <w:pPr>
        <w:spacing w:after="0" w:line="259" w:lineRule="auto"/>
        <w:ind w:left="0" w:firstLine="0"/>
        <w:jc w:val="left"/>
      </w:pPr>
      <w:r>
        <w:t xml:space="preserve"> </w:t>
      </w:r>
    </w:p>
    <w:p w14:paraId="07CFA78E" w14:textId="77777777" w:rsidR="00274B6B" w:rsidRDefault="00084811">
      <w:pPr>
        <w:spacing w:after="10" w:line="249" w:lineRule="auto"/>
        <w:ind w:left="-5" w:right="2781"/>
        <w:jc w:val="left"/>
      </w:pPr>
      <w:r>
        <w:rPr>
          <w:b/>
          <w:i/>
        </w:rPr>
        <w:t xml:space="preserve">Prerequisites: </w:t>
      </w:r>
    </w:p>
    <w:p w14:paraId="445B9B0C" w14:textId="77777777" w:rsidR="00274B6B" w:rsidRDefault="00084811">
      <w:pPr>
        <w:spacing w:after="0" w:line="259" w:lineRule="auto"/>
        <w:ind w:left="0" w:firstLine="0"/>
        <w:jc w:val="left"/>
      </w:pPr>
      <w:r>
        <w:t xml:space="preserve"> </w:t>
      </w:r>
    </w:p>
    <w:p w14:paraId="0957F880" w14:textId="77777777" w:rsidR="00274B6B" w:rsidRDefault="00084811">
      <w:pPr>
        <w:ind w:left="-2"/>
      </w:pPr>
      <w:r>
        <w:t xml:space="preserve">Intermediate Microeconomics is required for taking this course.   </w:t>
      </w:r>
    </w:p>
    <w:p w14:paraId="79328581" w14:textId="225E1D4C" w:rsidR="00274B6B" w:rsidRDefault="00084811" w:rsidP="00417B7C">
      <w:pPr>
        <w:spacing w:after="0" w:line="259" w:lineRule="auto"/>
        <w:ind w:left="0" w:firstLine="0"/>
        <w:jc w:val="left"/>
      </w:pPr>
      <w:r>
        <w:t xml:space="preserve">  </w:t>
      </w:r>
    </w:p>
    <w:p w14:paraId="223898A8" w14:textId="77777777" w:rsidR="00274B6B" w:rsidRDefault="00084811">
      <w:pPr>
        <w:spacing w:after="10" w:line="249" w:lineRule="auto"/>
        <w:ind w:left="-5" w:right="2781"/>
        <w:jc w:val="left"/>
      </w:pPr>
      <w:r>
        <w:rPr>
          <w:b/>
          <w:i/>
        </w:rPr>
        <w:t xml:space="preserve">Gradings: </w:t>
      </w:r>
    </w:p>
    <w:p w14:paraId="704522FF" w14:textId="77777777" w:rsidR="00274B6B" w:rsidRDefault="00084811">
      <w:pPr>
        <w:spacing w:after="4" w:line="259" w:lineRule="auto"/>
        <w:ind w:left="701" w:firstLine="0"/>
        <w:jc w:val="left"/>
      </w:pPr>
      <w:r>
        <w:t xml:space="preserve"> </w:t>
      </w:r>
    </w:p>
    <w:p w14:paraId="275C72CB" w14:textId="77777777" w:rsidR="00274B6B" w:rsidRDefault="00084811">
      <w:pPr>
        <w:tabs>
          <w:tab w:val="center" w:pos="2906"/>
          <w:tab w:val="center" w:pos="3672"/>
        </w:tabs>
        <w:ind w:left="0" w:firstLine="0"/>
        <w:jc w:val="left"/>
      </w:pPr>
      <w:r>
        <w:t xml:space="preserve">Problem sets </w:t>
      </w:r>
      <w:r>
        <w:tab/>
        <w:t xml:space="preserve"> </w:t>
      </w:r>
      <w:r>
        <w:tab/>
        <w:t>20%</w:t>
      </w:r>
    </w:p>
    <w:p w14:paraId="20ACADCA" w14:textId="77777777" w:rsidR="00274B6B" w:rsidRDefault="00084811">
      <w:pPr>
        <w:tabs>
          <w:tab w:val="center" w:pos="2906"/>
          <w:tab w:val="center" w:pos="3672"/>
        </w:tabs>
        <w:ind w:left="0" w:firstLine="0"/>
        <w:jc w:val="left"/>
      </w:pPr>
      <w:r>
        <w:t xml:space="preserve">Final </w:t>
      </w:r>
      <w:r>
        <w:tab/>
        <w:t xml:space="preserve"> </w:t>
      </w:r>
      <w:r>
        <w:tab/>
        <w:t>50%</w:t>
      </w:r>
    </w:p>
    <w:p w14:paraId="1B93E245" w14:textId="77777777" w:rsidR="00274B6B" w:rsidRDefault="00084811">
      <w:pPr>
        <w:tabs>
          <w:tab w:val="center" w:pos="2907"/>
          <w:tab w:val="center" w:pos="3672"/>
        </w:tabs>
        <w:ind w:left="0" w:firstLine="0"/>
        <w:jc w:val="left"/>
      </w:pPr>
      <w:r>
        <w:t xml:space="preserve">In-class exercises, </w:t>
      </w:r>
      <w:r>
        <w:tab/>
        <w:t xml:space="preserve"> </w:t>
      </w:r>
      <w:r>
        <w:tab/>
        <w:t>30%</w:t>
      </w:r>
    </w:p>
    <w:p w14:paraId="135C3A46" w14:textId="77777777" w:rsidR="00274B6B" w:rsidRDefault="00084811">
      <w:pPr>
        <w:ind w:left="116"/>
      </w:pPr>
      <w:r>
        <w:t xml:space="preserve">presentation, attendance </w:t>
      </w:r>
    </w:p>
    <w:p w14:paraId="543454AA" w14:textId="77777777" w:rsidR="00274B6B" w:rsidRDefault="00084811">
      <w:pPr>
        <w:ind w:left="116"/>
      </w:pPr>
      <w:r>
        <w:t xml:space="preserve">and classroom performance  </w:t>
      </w:r>
    </w:p>
    <w:p w14:paraId="76A0D14D" w14:textId="77777777" w:rsidR="00274B6B" w:rsidRDefault="00084811">
      <w:pPr>
        <w:spacing w:after="10" w:line="259" w:lineRule="auto"/>
        <w:ind w:left="0" w:firstLine="0"/>
        <w:jc w:val="left"/>
      </w:pPr>
      <w:r>
        <w:rPr>
          <w:rFonts w:ascii="Calibri" w:eastAsia="Calibri" w:hAnsi="Calibri" w:cs="Calibri"/>
          <w:noProof/>
          <w:sz w:val="22"/>
        </w:rPr>
        <mc:AlternateContent>
          <mc:Choice Requires="wpg">
            <w:drawing>
              <wp:inline distT="0" distB="0" distL="0" distR="0" wp14:anchorId="570C9DF7" wp14:editId="1A14E2D3">
                <wp:extent cx="2534412" cy="6096"/>
                <wp:effectExtent l="0" t="0" r="0" b="0"/>
                <wp:docPr id="1933" name="Group 1933"/>
                <wp:cNvGraphicFramePr/>
                <a:graphic xmlns:a="http://schemas.openxmlformats.org/drawingml/2006/main">
                  <a:graphicData uri="http://schemas.microsoft.com/office/word/2010/wordprocessingGroup">
                    <wpg:wgp>
                      <wpg:cNvGrpSpPr/>
                      <wpg:grpSpPr>
                        <a:xfrm>
                          <a:off x="0" y="0"/>
                          <a:ext cx="2534412" cy="6096"/>
                          <a:chOff x="0" y="0"/>
                          <a:chExt cx="2534412" cy="6096"/>
                        </a:xfrm>
                      </wpg:grpSpPr>
                      <wps:wsp>
                        <wps:cNvPr id="2752" name="Shape 2752"/>
                        <wps:cNvSpPr/>
                        <wps:spPr>
                          <a:xfrm>
                            <a:off x="0" y="0"/>
                            <a:ext cx="2534412" cy="9144"/>
                          </a:xfrm>
                          <a:custGeom>
                            <a:avLst/>
                            <a:gdLst/>
                            <a:ahLst/>
                            <a:cxnLst/>
                            <a:rect l="0" t="0" r="0" b="0"/>
                            <a:pathLst>
                              <a:path w="2534412" h="9144">
                                <a:moveTo>
                                  <a:pt x="0" y="0"/>
                                </a:moveTo>
                                <a:lnTo>
                                  <a:pt x="2534412" y="0"/>
                                </a:lnTo>
                                <a:lnTo>
                                  <a:pt x="25344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du="http://schemas.microsoft.com/office/word/2023/wordml/word16du" xmlns:oel="http://schemas.microsoft.com/office/2019/extlst">
            <w:pict>
              <v:group id="Group 1933" style="width:199.56pt;height:0.47998pt;mso-position-horizontal-relative:char;mso-position-vertical-relative:line" coordsize="25344,60">
                <v:shape id="Shape 2753" style="position:absolute;width:25344;height:91;left:0;top:0;" coordsize="2534412,9144" path="m0,0l2534412,0l2534412,9144l0,9144l0,0">
                  <v:stroke weight="0pt" endcap="flat" joinstyle="miter" miterlimit="10" on="false" color="#000000" opacity="0"/>
                  <v:fill on="true" color="#000000"/>
                </v:shape>
              </v:group>
            </w:pict>
          </mc:Fallback>
        </mc:AlternateContent>
      </w:r>
    </w:p>
    <w:p w14:paraId="128A651F" w14:textId="77777777" w:rsidR="00274B6B" w:rsidRDefault="00084811">
      <w:pPr>
        <w:tabs>
          <w:tab w:val="center" w:pos="2907"/>
          <w:tab w:val="center" w:pos="3614"/>
        </w:tabs>
        <w:spacing w:after="10" w:line="249" w:lineRule="auto"/>
        <w:ind w:left="0" w:firstLine="0"/>
        <w:jc w:val="left"/>
      </w:pPr>
      <w:r>
        <w:rPr>
          <w:b/>
          <w:i/>
        </w:rPr>
        <w:t xml:space="preserve">Total </w:t>
      </w:r>
      <w:r>
        <w:rPr>
          <w:b/>
          <w:i/>
        </w:rPr>
        <w:tab/>
        <w:t xml:space="preserve"> </w:t>
      </w:r>
      <w:r>
        <w:rPr>
          <w:b/>
          <w:i/>
        </w:rPr>
        <w:tab/>
        <w:t>100%</w:t>
      </w:r>
    </w:p>
    <w:p w14:paraId="19D7684D" w14:textId="2D7E9B3D" w:rsidR="00274B6B" w:rsidRPr="00417B7C" w:rsidRDefault="00084811">
      <w:pPr>
        <w:spacing w:after="0" w:line="259" w:lineRule="auto"/>
        <w:ind w:left="0" w:firstLine="0"/>
        <w:jc w:val="left"/>
        <w:rPr>
          <w:rFonts w:eastAsiaTheme="minorEastAsia"/>
        </w:rPr>
      </w:pPr>
      <w:r>
        <w:lastRenderedPageBreak/>
        <w:t xml:space="preserve"> </w:t>
      </w:r>
    </w:p>
    <w:p w14:paraId="77C90A64" w14:textId="77777777" w:rsidR="00274B6B" w:rsidRDefault="00084811">
      <w:pPr>
        <w:spacing w:after="10" w:line="249" w:lineRule="auto"/>
        <w:ind w:left="-5" w:right="2781"/>
        <w:jc w:val="left"/>
      </w:pPr>
      <w:r>
        <w:rPr>
          <w:b/>
          <w:i/>
        </w:rPr>
        <w:t xml:space="preserve">Problem sets: </w:t>
      </w:r>
    </w:p>
    <w:p w14:paraId="76A095E9" w14:textId="77777777" w:rsidR="00274B6B" w:rsidRDefault="00084811">
      <w:pPr>
        <w:spacing w:after="0" w:line="259" w:lineRule="auto"/>
        <w:ind w:left="3" w:firstLine="0"/>
        <w:jc w:val="left"/>
      </w:pPr>
      <w:r>
        <w:t xml:space="preserve"> </w:t>
      </w:r>
    </w:p>
    <w:p w14:paraId="09A407F4" w14:textId="77777777" w:rsidR="00274B6B" w:rsidRDefault="00084811">
      <w:pPr>
        <w:ind w:left="-2"/>
      </w:pPr>
      <w:r>
        <w:t>Four problem sets will be assigned.  The problem sets are designed to help you learn the material and they will also be a good study guide for the exams.  They will be graded on a 100-point scale.  Printed hard copy is strongly encouraged and will be colle</w:t>
      </w:r>
      <w:r>
        <w:t xml:space="preserve">cted in class (we don’t accept email submission). Late problem sets will be marked down by 10% for each day late (submission after class will be treated as one day late, late problem sets need to submit to my office in person).  </w:t>
      </w:r>
    </w:p>
    <w:p w14:paraId="74D1DC4D" w14:textId="77777777" w:rsidR="00274B6B" w:rsidRDefault="00084811">
      <w:pPr>
        <w:spacing w:after="0" w:line="259" w:lineRule="auto"/>
        <w:ind w:left="0" w:firstLine="0"/>
        <w:jc w:val="left"/>
      </w:pPr>
      <w:r>
        <w:t xml:space="preserve"> </w:t>
      </w:r>
    </w:p>
    <w:p w14:paraId="31FD6CCF" w14:textId="77777777" w:rsidR="00274B6B" w:rsidRDefault="00084811">
      <w:pPr>
        <w:spacing w:after="10" w:line="249" w:lineRule="auto"/>
        <w:ind w:left="-5" w:right="2781"/>
        <w:jc w:val="left"/>
      </w:pPr>
      <w:r>
        <w:rPr>
          <w:b/>
          <w:i/>
        </w:rPr>
        <w:t xml:space="preserve">Attendance policy: </w:t>
      </w:r>
    </w:p>
    <w:p w14:paraId="62441E55" w14:textId="77777777" w:rsidR="00274B6B" w:rsidRDefault="00084811">
      <w:pPr>
        <w:spacing w:after="0" w:line="259" w:lineRule="auto"/>
        <w:ind w:left="3" w:firstLine="0"/>
        <w:jc w:val="left"/>
      </w:pPr>
      <w:r>
        <w:t xml:space="preserve"> </w:t>
      </w:r>
    </w:p>
    <w:p w14:paraId="6A4C9A9D" w14:textId="77777777" w:rsidR="00274B6B" w:rsidRDefault="00084811">
      <w:pPr>
        <w:ind w:left="-2"/>
      </w:pPr>
      <w:r>
        <w:t>At</w:t>
      </w:r>
      <w:r>
        <w:t xml:space="preserve">tendance for class is required. If you miss the class, you may miss in-class exercises, which are important for your final grade. In addition, all material covered in class, including videos, handouts, in-class games and student presentation, will be fair </w:t>
      </w:r>
      <w:r>
        <w:t xml:space="preserve">game for problem sets and examples (for instance, game materials and videos will be posted on the course websites).  </w:t>
      </w:r>
    </w:p>
    <w:p w14:paraId="17D45CEB" w14:textId="77777777" w:rsidR="00274B6B" w:rsidRDefault="00084811">
      <w:pPr>
        <w:spacing w:after="0" w:line="259" w:lineRule="auto"/>
        <w:ind w:left="60" w:firstLine="0"/>
        <w:jc w:val="center"/>
      </w:pPr>
      <w:r>
        <w:t xml:space="preserve"> </w:t>
      </w:r>
    </w:p>
    <w:p w14:paraId="48FD5BB8" w14:textId="77777777" w:rsidR="00274B6B" w:rsidRDefault="00084811">
      <w:pPr>
        <w:spacing w:after="0" w:line="259" w:lineRule="auto"/>
        <w:ind w:left="60" w:firstLine="0"/>
        <w:jc w:val="center"/>
      </w:pPr>
      <w:r>
        <w:t xml:space="preserve"> </w:t>
      </w:r>
    </w:p>
    <w:p w14:paraId="3AB46C19" w14:textId="77777777" w:rsidR="00274B6B" w:rsidRDefault="00084811">
      <w:pPr>
        <w:spacing w:after="0" w:line="259" w:lineRule="auto"/>
        <w:ind w:left="0" w:firstLine="0"/>
        <w:jc w:val="left"/>
      </w:pPr>
      <w:r>
        <w:rPr>
          <w:b/>
        </w:rPr>
        <w:t xml:space="preserve">Weekly Schedule: </w:t>
      </w:r>
    </w:p>
    <w:p w14:paraId="36A3D526" w14:textId="77777777" w:rsidR="00274B6B" w:rsidRDefault="00084811">
      <w:pPr>
        <w:spacing w:after="0" w:line="259" w:lineRule="auto"/>
        <w:ind w:left="0" w:firstLine="0"/>
        <w:jc w:val="left"/>
      </w:pPr>
      <w:r>
        <w:rPr>
          <w:b/>
        </w:rPr>
        <w:t xml:space="preserve"> </w:t>
      </w:r>
    </w:p>
    <w:p w14:paraId="4634D305" w14:textId="34F34AE6" w:rsidR="00274B6B" w:rsidRDefault="00084811">
      <w:pPr>
        <w:numPr>
          <w:ilvl w:val="0"/>
          <w:numId w:val="1"/>
        </w:numPr>
        <w:ind w:hanging="350"/>
      </w:pPr>
      <w:r>
        <w:t xml:space="preserve">Introduction to Environmental and Resource Economics; Basic Pessimist Model vs. Basic Optimist Model </w:t>
      </w:r>
    </w:p>
    <w:p w14:paraId="739033D7" w14:textId="77777777" w:rsidR="00274B6B" w:rsidRDefault="00084811">
      <w:pPr>
        <w:numPr>
          <w:ilvl w:val="0"/>
          <w:numId w:val="1"/>
        </w:numPr>
        <w:ind w:hanging="350"/>
      </w:pPr>
      <w:r>
        <w:t xml:space="preserve">Basic Tools </w:t>
      </w:r>
      <w:r>
        <w:t xml:space="preserve">and Economic Principles for Environmental and Resource Economics </w:t>
      </w:r>
    </w:p>
    <w:p w14:paraId="7E21B4D0" w14:textId="77777777" w:rsidR="00274B6B" w:rsidRDefault="00084811">
      <w:pPr>
        <w:spacing w:after="0" w:line="259" w:lineRule="auto"/>
        <w:ind w:left="0" w:right="116" w:firstLine="0"/>
        <w:jc w:val="right"/>
      </w:pPr>
      <w:r>
        <w:t xml:space="preserve">Property Rights, Externalities, and Environmental Problems, Public Goods, Coase Theorem </w:t>
      </w:r>
    </w:p>
    <w:p w14:paraId="6E229D8D" w14:textId="77777777" w:rsidR="00274B6B" w:rsidRDefault="00084811">
      <w:pPr>
        <w:numPr>
          <w:ilvl w:val="0"/>
          <w:numId w:val="1"/>
        </w:numPr>
        <w:ind w:hanging="350"/>
      </w:pPr>
      <w:r>
        <w:t xml:space="preserve">Cost-Benefit Analysis </w:t>
      </w:r>
    </w:p>
    <w:p w14:paraId="41030C27" w14:textId="77777777" w:rsidR="00274B6B" w:rsidRDefault="00084811">
      <w:pPr>
        <w:numPr>
          <w:ilvl w:val="0"/>
          <w:numId w:val="1"/>
        </w:numPr>
        <w:ind w:hanging="350"/>
      </w:pPr>
      <w:r>
        <w:t xml:space="preserve">Cost Estimation Methods and Application </w:t>
      </w:r>
    </w:p>
    <w:p w14:paraId="2CF61D98" w14:textId="77777777" w:rsidR="00274B6B" w:rsidRDefault="00084811">
      <w:pPr>
        <w:numPr>
          <w:ilvl w:val="0"/>
          <w:numId w:val="1"/>
        </w:numPr>
        <w:ind w:hanging="350"/>
      </w:pPr>
      <w:r>
        <w:t>Benefit Estimation Methods and Applic</w:t>
      </w:r>
      <w:r>
        <w:t xml:space="preserve">ations </w:t>
      </w:r>
    </w:p>
    <w:p w14:paraId="78DA197F" w14:textId="77777777" w:rsidR="00274B6B" w:rsidRDefault="00084811">
      <w:pPr>
        <w:numPr>
          <w:ilvl w:val="0"/>
          <w:numId w:val="1"/>
        </w:numPr>
        <w:ind w:hanging="350"/>
      </w:pPr>
      <w:r>
        <w:t xml:space="preserve">Economic Instruments for Pollution Control; Stationary-Source Local Air Pollution </w:t>
      </w:r>
    </w:p>
    <w:p w14:paraId="62110FB3" w14:textId="77777777" w:rsidR="00274B6B" w:rsidRDefault="00084811">
      <w:pPr>
        <w:numPr>
          <w:ilvl w:val="0"/>
          <w:numId w:val="1"/>
        </w:numPr>
        <w:ind w:hanging="350"/>
      </w:pPr>
      <w:r>
        <w:t xml:space="preserve">Regional Pollution: Acid Rain  </w:t>
      </w:r>
    </w:p>
    <w:p w14:paraId="43943BE4" w14:textId="77777777" w:rsidR="00274B6B" w:rsidRDefault="00084811">
      <w:pPr>
        <w:ind w:left="418"/>
      </w:pPr>
      <w:r>
        <w:t xml:space="preserve">Montreal Protocol and Ozone Depletion </w:t>
      </w:r>
    </w:p>
    <w:p w14:paraId="28CA68F4" w14:textId="77777777" w:rsidR="00274B6B" w:rsidRDefault="00084811">
      <w:pPr>
        <w:numPr>
          <w:ilvl w:val="0"/>
          <w:numId w:val="1"/>
        </w:numPr>
        <w:ind w:hanging="350"/>
      </w:pPr>
      <w:r>
        <w:t xml:space="preserve">Climate Change: Science, Policy and Models </w:t>
      </w:r>
    </w:p>
    <w:p w14:paraId="78292B49" w14:textId="77777777" w:rsidR="00274B6B" w:rsidRDefault="00084811">
      <w:pPr>
        <w:ind w:left="418"/>
      </w:pPr>
      <w:r>
        <w:t xml:space="preserve">Stern Review and Critiques; IPCC Report, New Climate Economy and etc. </w:t>
      </w:r>
    </w:p>
    <w:p w14:paraId="5E6E76C5" w14:textId="77777777" w:rsidR="00274B6B" w:rsidRDefault="00084811">
      <w:pPr>
        <w:numPr>
          <w:ilvl w:val="0"/>
          <w:numId w:val="1"/>
        </w:numPr>
        <w:ind w:hanging="350"/>
      </w:pPr>
      <w:r>
        <w:t xml:space="preserve">Air Pollution, Pollution Exposure and Health, and Individual Behavior Changes (Empirical Studies, Peltzman Effects) </w:t>
      </w:r>
    </w:p>
    <w:p w14:paraId="4ECF4918" w14:textId="77777777" w:rsidR="00274B6B" w:rsidRDefault="00084811">
      <w:pPr>
        <w:numPr>
          <w:ilvl w:val="0"/>
          <w:numId w:val="1"/>
        </w:numPr>
        <w:ind w:hanging="350"/>
      </w:pPr>
      <w:r>
        <w:t xml:space="preserve">Optimal Extraction &amp; Use of Non-renewable Resources </w:t>
      </w:r>
    </w:p>
    <w:p w14:paraId="0133FC48" w14:textId="77777777" w:rsidR="00274B6B" w:rsidRDefault="00084811">
      <w:pPr>
        <w:numPr>
          <w:ilvl w:val="0"/>
          <w:numId w:val="1"/>
        </w:numPr>
        <w:ind w:hanging="350"/>
      </w:pPr>
      <w:r>
        <w:t>Depletable, Non</w:t>
      </w:r>
      <w:r>
        <w:t xml:space="preserve">-recyclable Energy Resources, Energy Economics, Price Control and Impacts, OPEC </w:t>
      </w:r>
    </w:p>
    <w:p w14:paraId="42621279" w14:textId="77777777" w:rsidR="00274B6B" w:rsidRDefault="00084811">
      <w:pPr>
        <w:numPr>
          <w:ilvl w:val="0"/>
          <w:numId w:val="1"/>
        </w:numPr>
        <w:ind w:hanging="350"/>
      </w:pPr>
      <w:r>
        <w:t xml:space="preserve">Fishery Economics </w:t>
      </w:r>
    </w:p>
    <w:p w14:paraId="476B8E44" w14:textId="77777777" w:rsidR="00274B6B" w:rsidRDefault="00084811">
      <w:pPr>
        <w:numPr>
          <w:ilvl w:val="0"/>
          <w:numId w:val="1"/>
        </w:numPr>
        <w:ind w:hanging="350"/>
      </w:pPr>
      <w:r>
        <w:t xml:space="preserve">Forestry Economics, Sloping Land Conversion Program in China; Payment for Ecosystem Services </w:t>
      </w:r>
    </w:p>
    <w:p w14:paraId="043D91A3" w14:textId="77777777" w:rsidR="00274B6B" w:rsidRDefault="00084811">
      <w:pPr>
        <w:numPr>
          <w:ilvl w:val="0"/>
          <w:numId w:val="1"/>
        </w:numPr>
        <w:ind w:hanging="350"/>
      </w:pPr>
      <w:r>
        <w:t xml:space="preserve">Sustainability, Economic Growth and the Environment </w:t>
      </w:r>
    </w:p>
    <w:p w14:paraId="4908BFE7" w14:textId="77777777" w:rsidR="00274B6B" w:rsidRDefault="00084811">
      <w:pPr>
        <w:numPr>
          <w:ilvl w:val="0"/>
          <w:numId w:val="1"/>
        </w:numPr>
        <w:ind w:hanging="350"/>
      </w:pPr>
      <w:r>
        <w:t>Final Exa</w:t>
      </w:r>
      <w:r>
        <w:t xml:space="preserve">m (in-class exam) </w:t>
      </w:r>
    </w:p>
    <w:p w14:paraId="6FB6E8C4" w14:textId="77777777" w:rsidR="00274B6B" w:rsidRDefault="00084811">
      <w:pPr>
        <w:spacing w:after="0" w:line="259" w:lineRule="auto"/>
        <w:ind w:left="59" w:firstLine="0"/>
        <w:jc w:val="center"/>
      </w:pPr>
      <w:r>
        <w:t xml:space="preserve"> </w:t>
      </w:r>
    </w:p>
    <w:sectPr w:rsidR="00274B6B">
      <w:footerReference w:type="even" r:id="rId7"/>
      <w:footerReference w:type="default" r:id="rId8"/>
      <w:footerReference w:type="first" r:id="rId9"/>
      <w:pgSz w:w="11904" w:h="16840"/>
      <w:pgMar w:top="1776" w:right="1400" w:bottom="2131" w:left="1400" w:header="720" w:footer="14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17501" w14:textId="77777777" w:rsidR="00084811" w:rsidRDefault="00084811">
      <w:pPr>
        <w:spacing w:after="0" w:line="240" w:lineRule="auto"/>
      </w:pPr>
      <w:r>
        <w:separator/>
      </w:r>
    </w:p>
  </w:endnote>
  <w:endnote w:type="continuationSeparator" w:id="0">
    <w:p w14:paraId="7ABB988A" w14:textId="77777777" w:rsidR="00084811" w:rsidRDefault="000848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6196C" w14:textId="77777777" w:rsidR="00274B6B" w:rsidRDefault="00084811">
    <w:pPr>
      <w:tabs>
        <w:tab w:val="center" w:pos="4551"/>
        <w:tab w:val="center" w:pos="9103"/>
      </w:tabs>
      <w:spacing w:after="0" w:line="259" w:lineRule="auto"/>
      <w:ind w:left="0" w:firstLine="0"/>
      <w:jc w:val="left"/>
    </w:pPr>
    <w:r>
      <w:rPr>
        <w:rFonts w:ascii="Calibri" w:eastAsia="Calibri" w:hAnsi="Calibri" w:cs="Calibri"/>
        <w:sz w:val="22"/>
      </w:rPr>
      <w:tab/>
    </w:r>
    <w:r>
      <w:fldChar w:fldCharType="begin"/>
    </w:r>
    <w:r>
      <w:instrText xml:space="preserve"> PAGE   \* MERGEFORMAT </w:instrText>
    </w:r>
    <w:r>
      <w:fldChar w:fldCharType="separate"/>
    </w:r>
    <w:r>
      <w:t>1</w:t>
    </w:r>
    <w:r>
      <w:fldChar w:fldCharType="end"/>
    </w:r>
    <w: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21A97" w14:textId="77777777" w:rsidR="00274B6B" w:rsidRDefault="00084811">
    <w:pPr>
      <w:tabs>
        <w:tab w:val="center" w:pos="4551"/>
        <w:tab w:val="center" w:pos="9103"/>
      </w:tabs>
      <w:spacing w:after="0" w:line="259" w:lineRule="auto"/>
      <w:ind w:left="0" w:firstLine="0"/>
      <w:jc w:val="left"/>
    </w:pPr>
    <w:r>
      <w:rPr>
        <w:rFonts w:ascii="Calibri" w:eastAsia="Calibri" w:hAnsi="Calibri" w:cs="Calibri"/>
        <w:sz w:val="22"/>
      </w:rPr>
      <w:tab/>
    </w:r>
    <w:r>
      <w:fldChar w:fldCharType="begin"/>
    </w:r>
    <w:r>
      <w:instrText xml:space="preserve"> PAGE   \* MERGEFORMAT </w:instrText>
    </w:r>
    <w:r>
      <w:fldChar w:fldCharType="separate"/>
    </w:r>
    <w:r>
      <w:t>1</w:t>
    </w:r>
    <w:r>
      <w:fldChar w:fldCharType="end"/>
    </w:r>
    <w: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9089E" w14:textId="77777777" w:rsidR="00274B6B" w:rsidRDefault="00084811">
    <w:pPr>
      <w:tabs>
        <w:tab w:val="center" w:pos="4551"/>
        <w:tab w:val="center" w:pos="9103"/>
      </w:tabs>
      <w:spacing w:after="0" w:line="259" w:lineRule="auto"/>
      <w:ind w:left="0" w:firstLine="0"/>
      <w:jc w:val="left"/>
    </w:pPr>
    <w:r>
      <w:rPr>
        <w:rFonts w:ascii="Calibri" w:eastAsia="Calibri" w:hAnsi="Calibri" w:cs="Calibri"/>
        <w:sz w:val="22"/>
      </w:rPr>
      <w:tab/>
    </w:r>
    <w:r>
      <w:fldChar w:fldCharType="begin"/>
    </w:r>
    <w:r>
      <w:instrText xml:space="preserve"> PAGE   \* MERGEFORMAT </w:instrText>
    </w:r>
    <w:r>
      <w:fldChar w:fldCharType="separate"/>
    </w:r>
    <w:r>
      <w:t>1</w:t>
    </w:r>
    <w:r>
      <w:fldChar w:fldCharType="end"/>
    </w: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02C2B" w14:textId="77777777" w:rsidR="00084811" w:rsidRDefault="00084811">
      <w:pPr>
        <w:spacing w:after="0" w:line="240" w:lineRule="auto"/>
      </w:pPr>
      <w:r>
        <w:separator/>
      </w:r>
    </w:p>
  </w:footnote>
  <w:footnote w:type="continuationSeparator" w:id="0">
    <w:p w14:paraId="4C56AE42" w14:textId="77777777" w:rsidR="00084811" w:rsidRDefault="000848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E617B"/>
    <w:multiLevelType w:val="hybridMultilevel"/>
    <w:tmpl w:val="02A4B232"/>
    <w:lvl w:ilvl="0" w:tplc="A830D8EC">
      <w:start w:val="1"/>
      <w:numFmt w:val="decimal"/>
      <w:lvlText w:val="%1."/>
      <w:lvlJc w:val="left"/>
      <w:pPr>
        <w:ind w:left="35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824E5026">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5B648BF4">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9176C314">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48B47618">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1B1A303A">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A574D216">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35A8F546">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3BD60DAA">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B6B"/>
    <w:rsid w:val="00084811"/>
    <w:rsid w:val="00274B6B"/>
    <w:rsid w:val="003461AF"/>
    <w:rsid w:val="00417B7C"/>
    <w:rsid w:val="00544ED9"/>
    <w:rsid w:val="006F73E1"/>
    <w:rsid w:val="00853627"/>
    <w:rsid w:val="009C2349"/>
    <w:rsid w:val="00A8424A"/>
    <w:rsid w:val="00C80673"/>
    <w:rsid w:val="00CF3834"/>
    <w:rsid w:val="00ED0470"/>
    <w:rsid w:val="00ED121D"/>
    <w:rsid w:val="00F239B5"/>
    <w:rsid w:val="00F707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099BFA"/>
  <w15:docId w15:val="{5A46F7F9-67F9-4622-8372-30E929F8E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5" w:line="248" w:lineRule="auto"/>
      <w:ind w:left="10" w:hanging="10"/>
      <w:jc w:val="both"/>
    </w:pPr>
    <w:rPr>
      <w:rFonts w:ascii="Times New Roman" w:eastAsia="Times New Roman" w:hAnsi="Times New Roman" w:cs="Times New Roman"/>
      <w:color w:val="000000"/>
      <w:sz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8424A"/>
    <w:pPr>
      <w:pBdr>
        <w:bottom w:val="single" w:sz="6" w:space="1" w:color="auto"/>
      </w:pBdr>
      <w:tabs>
        <w:tab w:val="center" w:pos="4153"/>
        <w:tab w:val="right" w:pos="8306"/>
      </w:tabs>
      <w:snapToGrid w:val="0"/>
      <w:spacing w:line="240" w:lineRule="auto"/>
      <w:jc w:val="center"/>
    </w:pPr>
    <w:rPr>
      <w:sz w:val="18"/>
      <w:szCs w:val="18"/>
    </w:rPr>
  </w:style>
  <w:style w:type="character" w:customStyle="1" w:styleId="a4">
    <w:name w:val="页眉 字符"/>
    <w:basedOn w:val="a0"/>
    <w:link w:val="a3"/>
    <w:uiPriority w:val="99"/>
    <w:rsid w:val="00A8424A"/>
    <w:rPr>
      <w:rFonts w:ascii="Times New Roman" w:eastAsia="Times New Roman" w:hAnsi="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572</Words>
  <Characters>3264</Characters>
  <Application>Microsoft Office Word</Application>
  <DocSecurity>0</DocSecurity>
  <Lines>27</Lines>
  <Paragraphs>7</Paragraphs>
  <ScaleCrop>false</ScaleCrop>
  <Company/>
  <LinksUpToDate>false</LinksUpToDate>
  <CharactersWithSpaces>3829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- 2022syllabus.doc</dc:title>
  <dc:subject/>
  <dc:creator>caojing</dc:creator>
  <cp:keywords/>
  <cp:lastModifiedBy>朱 晓艳</cp:lastModifiedBy>
  <cp:revision>2</cp:revision>
  <dcterms:created xsi:type="dcterms:W3CDTF">2024-07-03T02:04:00Z</dcterms:created>
  <dcterms:modified xsi:type="dcterms:W3CDTF">2024-07-03T02:04:00Z</dcterms:modified>
</cp:coreProperties>
</file>